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 NOW - OBJECTION LETTER DEADLINE 18th JULY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Development Services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Mansfield District Council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Civic Centre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Chesterfield Road South</w:t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Mansfield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Notts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NG19 7BH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Re: Planning Application Ref: 2025/0377/OUT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Erection of up to 235 Dwellings, Land South of Peafield Lane, Mansfield Woodhouse. Notts.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Please be aware that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I am writing to register my objection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to the above Planning Application on the following grounds: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Development of the site has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previously been refused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on appeal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due to the ‘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harm to the safety and free flow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 and ‘additionally, there would be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harm to the landscape character and appearance of the area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’. As detailed in the report by The Planning Inspectorate: Ref APP/X3025/W/19/3230027 15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November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my opinion the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current situation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with the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‘safety and free flow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 since the Appeal Decision in November 2019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has deteriorated significantly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Congestion into Mansfield along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the only two viable routes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this part of Mansfield Woodhouse (namely A60 and A6075)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cannot cope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with the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existing volume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at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peak times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or during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road closures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or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flooding particularly on the A6075 Debdale lane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frequently use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residential access roads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in an attempt to bypass congestion: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fear that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increased pressure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on these roads is a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serious safety concern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for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all road users and pedestrians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my opinion the development application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has not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taken appropriate consideration of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real impact to the safety and free flow of traffic on the road network, the use of residential access roads by the local community in the wider area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legitimate concerns raised by the residents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of Mansfield Woodhouse.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Ad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opted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L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ocal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P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lan 2013 - 2033 has sufficient land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already identified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for the next 8.7 years based upon the latest Mansfield Housing Monitoring Report 1</w:t>
      </w:r>
      <w:r w:rsidDel="00000000" w:rsidR="00000000" w:rsidRPr="00000000">
        <w:rPr>
          <w:color w:val="000000"/>
          <w:sz w:val="20"/>
          <w:szCs w:val="20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April 2024, published January 2025, therefore the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application is premature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and undermines the Plan’s spatial strategy.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Medical services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in Mansfield Woodhouse are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already at capacity as stated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by the NHS comments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an influx of more users will reduce access for </w:t>
      </w:r>
      <w:r w:rsidDel="00000000" w:rsidR="00000000" w:rsidRPr="00000000">
        <w:rPr>
          <w:sz w:val="20"/>
          <w:szCs w:val="20"/>
          <w:rtl w:val="0"/>
        </w:rPr>
        <w:t xml:space="preserve">existing residents.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The services are not </w:t>
      </w:r>
      <w:r w:rsidDel="00000000" w:rsidR="00000000" w:rsidRPr="00000000">
        <w:rPr>
          <w:sz w:val="20"/>
          <w:szCs w:val="20"/>
          <w:rtl w:val="0"/>
        </w:rPr>
        <w:t xml:space="preserve">reasonably accessible by foot, therefore will add to road congestion along the A6075 / A60.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loss of open countryside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agricultural land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our village is d</w:t>
      </w:r>
      <w:r w:rsidDel="00000000" w:rsidR="00000000" w:rsidRPr="00000000">
        <w:rPr>
          <w:sz w:val="20"/>
          <w:szCs w:val="20"/>
          <w:rtl w:val="0"/>
        </w:rPr>
        <w:t xml:space="preserve">etrimental to our natural heritage and the Character of the Land.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e application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negatively impacts biodiversity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loss of farmland habitat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particula</w:t>
      </w:r>
      <w:r w:rsidDel="00000000" w:rsidR="00000000" w:rsidRPr="00000000">
        <w:rPr>
          <w:sz w:val="20"/>
          <w:szCs w:val="20"/>
          <w:rtl w:val="0"/>
        </w:rPr>
        <w:t xml:space="preserve">rly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for at risk bird species including 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Skylark and Lapwing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perimeter of the land is used as a local amenity for residents and has a significant positive impact on mental health. </w:t>
      </w:r>
    </w:p>
    <w:p w:rsidR="00000000" w:rsidDel="00000000" w:rsidP="00000000" w:rsidRDefault="00000000" w:rsidRPr="00000000" w14:paraId="00000018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Signed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Address 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Additional Comments Overleaf</w:t>
      </w:r>
    </w:p>
    <w:p w:rsidR="00000000" w:rsidDel="00000000" w:rsidP="00000000" w:rsidRDefault="00000000" w:rsidRPr="00000000" w14:paraId="0000001B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Planning Application was submitted for a Major New Development off Peafield Lane – 235 Dwellings on the 16</w:t>
      </w:r>
      <w:r w:rsidDel="00000000" w:rsidR="00000000" w:rsidRPr="00000000">
        <w:rPr>
          <w:b w:val="1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June</w:t>
      </w:r>
    </w:p>
    <w:p w:rsidR="00000000" w:rsidDel="00000000" w:rsidP="00000000" w:rsidRDefault="00000000" w:rsidRPr="00000000" w14:paraId="0000001E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 NOW! You have a limited time to object to the plans. DEADLINE 18th July. </w:t>
      </w:r>
    </w:p>
    <w:p w:rsidR="00000000" w:rsidDel="00000000" w:rsidP="00000000" w:rsidRDefault="00000000" w:rsidRPr="00000000" w14:paraId="0000001F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Write and OBJECT to this proposed development.</w:t>
      </w:r>
    </w:p>
    <w:p w:rsidR="00000000" w:rsidDel="00000000" w:rsidP="00000000" w:rsidRDefault="00000000" w:rsidRPr="00000000" w14:paraId="00000020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How to Object</w:t>
      </w:r>
    </w:p>
    <w:p w:rsidR="00000000" w:rsidDel="00000000" w:rsidP="00000000" w:rsidRDefault="00000000" w:rsidRPr="00000000" w14:paraId="00000021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Quote Application Ref;</w:t>
      </w:r>
      <w:r w:rsidDel="00000000" w:rsidR="00000000" w:rsidRPr="00000000">
        <w:rPr>
          <w:b w:val="1"/>
          <w:sz w:val="20"/>
          <w:szCs w:val="20"/>
          <w:rtl w:val="0"/>
        </w:rPr>
        <w:t xml:space="preserve"> 2025/0377/OUT </w:t>
      </w:r>
    </w:p>
    <w:p w:rsidR="00000000" w:rsidDel="00000000" w:rsidP="00000000" w:rsidRDefault="00000000" w:rsidRPr="00000000" w14:paraId="00000022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State you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‘STRONGLY OBJECT’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and detail why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Online </w:t>
      </w:r>
      <w:hyperlink r:id="rId7">
        <w:r w:rsidDel="00000000" w:rsidR="00000000" w:rsidRPr="00000000">
          <w:rPr>
            <w:b w:val="1"/>
            <w:color w:val="467886"/>
            <w:sz w:val="20"/>
            <w:szCs w:val="20"/>
            <w:u w:val="single"/>
            <w:rtl w:val="0"/>
          </w:rPr>
          <w:t xml:space="preserve">https://planning.mansfield.gov.uk/online-applications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Write to the planning team: </w:t>
      </w:r>
    </w:p>
    <w:p w:rsidR="00000000" w:rsidDel="00000000" w:rsidP="00000000" w:rsidRDefault="00000000" w:rsidRPr="00000000" w14:paraId="00000025">
      <w:pPr>
        <w:shd w:fill="ffffff" w:val="clear"/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Development Services, Mansfield District Council, Civic Centre, Chesterfield Rd South, Mansfield, Notts NG19 7BH. </w:t>
      </w:r>
    </w:p>
    <w:p w:rsidR="00000000" w:rsidDel="00000000" w:rsidP="00000000" w:rsidRDefault="00000000" w:rsidRPr="00000000" w14:paraId="00000026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 Email </w:t>
      </w:r>
      <w:hyperlink r:id="rId8">
        <w:r w:rsidDel="00000000" w:rsidR="00000000" w:rsidRPr="00000000">
          <w:rPr>
            <w:b w:val="1"/>
            <w:color w:val="467886"/>
            <w:sz w:val="20"/>
            <w:szCs w:val="20"/>
            <w:u w:val="single"/>
            <w:rtl w:val="0"/>
          </w:rPr>
          <w:t xml:space="preserve">pbc@mansfield.gov.uk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Need Help!</w:t>
      </w:r>
    </w:p>
    <w:p w:rsidR="00000000" w:rsidDel="00000000" w:rsidP="00000000" w:rsidRDefault="00000000" w:rsidRPr="00000000" w14:paraId="00000029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Check out our resources for template letters to get you started;</w:t>
      </w:r>
    </w:p>
    <w:p w:rsidR="00000000" w:rsidDel="00000000" w:rsidP="00000000" w:rsidRDefault="00000000" w:rsidRPr="00000000" w14:paraId="0000002A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Facebook page </w:t>
      </w:r>
    </w:p>
    <w:p w:rsidR="00000000" w:rsidDel="00000000" w:rsidP="00000000" w:rsidRDefault="00000000" w:rsidRPr="00000000" w14:paraId="0000002B">
      <w:pPr>
        <w:shd w:fill="ffffff" w:val="clear"/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Mansfield Woodhouse Say NO to further development</w:t>
      </w:r>
    </w:p>
    <w:p w:rsidR="00000000" w:rsidDel="00000000" w:rsidP="00000000" w:rsidRDefault="00000000" w:rsidRPr="00000000" w14:paraId="0000002C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Website: </w:t>
      </w:r>
    </w:p>
    <w:p w:rsidR="00000000" w:rsidDel="00000000" w:rsidP="00000000" w:rsidRDefault="00000000" w:rsidRPr="00000000" w14:paraId="0000002D">
      <w:pPr>
        <w:shd w:fill="ffffff" w:val="clear"/>
        <w:spacing w:after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https://protect-woodhouse-green-spaces.co.uk/gladman-development-peafield-lane-planning-application/</w:t>
      </w:r>
    </w:p>
    <w:p w:rsidR="00000000" w:rsidDel="00000000" w:rsidP="00000000" w:rsidRDefault="00000000" w:rsidRPr="00000000" w14:paraId="0000002E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Email</w:t>
      </w:r>
    </w:p>
    <w:p w:rsidR="00000000" w:rsidDel="00000000" w:rsidP="00000000" w:rsidRDefault="00000000" w:rsidRPr="00000000" w14:paraId="0000002F">
      <w:pPr>
        <w:shd w:fill="ffffff" w:val="clear"/>
        <w:spacing w:after="200" w:lineRule="auto"/>
        <w:jc w:val="both"/>
        <w:rPr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saynotogladmanland@gmail.com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37178269"/>
        <w:tag w:val="goog_rdk_0"/>
      </w:sdtPr>
      <w:sdtContent>
        <w:tbl>
          <w:tblPr>
            <w:tblStyle w:val="Table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rHeight w:val="546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Additional Comments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hd w:fill="ffffff" w:val="clear"/>
        <w:spacing w:after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40"/>
      <w:numFmt w:val="bullet"/>
      <w:lvlText w:val="🗆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B762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B762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B762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B762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B762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B762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B762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B762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B762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B762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B762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B762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B76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B762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B76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B762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B762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B762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B762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762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B7628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ynotogladmanland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nning.mansfield.gov.uk/onlline-applications" TargetMode="External"/><Relationship Id="rId8" Type="http://schemas.openxmlformats.org/officeDocument/2006/relationships/hyperlink" Target="mailto:pbc@mansfield.gov.uk?subject=Objection%20to%20Development%20Application%20Ref:%202018/0777/O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0Fn0avmr2W/N3jau8/BRn6KLQ==">CgMxLjAaHwoBMBIaChgICVIUChJ0YWJsZS5rNHZyeThqdndwejc4AHIhMWdsTk5CTWZnQ21scVFzS3BkaGlVWm51VmRBWDl6VkY2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2025-07-04T19:31:00Z</dcterms:created>
  <dc:creator>Tim Betts</dc:creator>
</cp:coreProperties>
</file>